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E0179" w14:textId="75737D46" w:rsidR="007D5E7E" w:rsidRPr="00FC5A6A" w:rsidRDefault="00FC5A6A" w:rsidP="00FC5A6A">
      <w:pPr>
        <w:spacing w:after="400"/>
        <w:jc w:val="center"/>
        <w:rPr>
          <w:rFonts w:ascii="Arial" w:hAnsi="Arial" w:cs="Arial"/>
          <w:sz w:val="24"/>
          <w:szCs w:val="24"/>
        </w:rPr>
      </w:pPr>
      <w:r w:rsidRPr="00166626">
        <w:rPr>
          <w:rFonts w:ascii="Arial" w:hAnsi="Arial" w:cs="Arial"/>
          <w:b/>
          <w:bCs/>
          <w:sz w:val="32"/>
          <w:szCs w:val="32"/>
        </w:rPr>
        <w:t>Global Specialty Steel</w:t>
      </w:r>
      <w:r w:rsidR="00092E11" w:rsidRPr="00166626">
        <w:rPr>
          <w:rFonts w:ascii="Arial" w:hAnsi="Arial" w:cs="Arial"/>
          <w:b/>
          <w:bCs/>
          <w:sz w:val="32"/>
          <w:szCs w:val="32"/>
        </w:rPr>
        <w:t>,</w:t>
      </w:r>
      <w:r w:rsidRPr="00166626">
        <w:rPr>
          <w:rFonts w:ascii="Arial" w:hAnsi="Arial" w:cs="Arial"/>
          <w:b/>
          <w:bCs/>
          <w:sz w:val="32"/>
          <w:szCs w:val="32"/>
        </w:rPr>
        <w:t xml:space="preserve"> Wire Solutions</w:t>
      </w:r>
      <w:r w:rsidRPr="00AD39AA">
        <w:rPr>
          <w:rFonts w:ascii="Arial" w:hAnsi="Arial" w:cs="Arial"/>
          <w:sz w:val="32"/>
          <w:szCs w:val="32"/>
        </w:rPr>
        <w:br/>
      </w:r>
      <w:r w:rsidRPr="00FC5A6A">
        <w:rPr>
          <w:rFonts w:ascii="Arial" w:hAnsi="Arial" w:cs="Arial"/>
          <w:sz w:val="24"/>
          <w:szCs w:val="24"/>
        </w:rPr>
        <w:t>4135 West 126</w:t>
      </w:r>
      <w:r w:rsidRPr="00FC5A6A">
        <w:rPr>
          <w:rFonts w:ascii="Arial" w:hAnsi="Arial" w:cs="Arial"/>
          <w:sz w:val="24"/>
          <w:szCs w:val="24"/>
          <w:vertAlign w:val="superscript"/>
        </w:rPr>
        <w:t>th</w:t>
      </w:r>
      <w:r w:rsidRPr="00FC5A6A">
        <w:rPr>
          <w:rFonts w:ascii="Arial" w:hAnsi="Arial" w:cs="Arial"/>
          <w:sz w:val="24"/>
          <w:szCs w:val="24"/>
        </w:rPr>
        <w:t xml:space="preserve"> Street, Alsip, IL 60803</w:t>
      </w:r>
    </w:p>
    <w:p w14:paraId="087B44A5" w14:textId="47617AD3" w:rsidR="007D5E7E" w:rsidRPr="00FC5A6A" w:rsidRDefault="00E95EDD" w:rsidP="007D5E7E">
      <w:pPr>
        <w:spacing w:after="400"/>
        <w:rPr>
          <w:rFonts w:ascii="Arial" w:hAnsi="Arial" w:cs="Arial"/>
          <w:color w:val="000000" w:themeColor="text1"/>
          <w:sz w:val="24"/>
          <w:szCs w:val="24"/>
        </w:rPr>
      </w:pPr>
      <w:r>
        <w:rPr>
          <w:rFonts w:ascii="Arial" w:hAnsi="Arial" w:cs="Arial"/>
          <w:color w:val="000000" w:themeColor="text1"/>
          <w:sz w:val="24"/>
          <w:szCs w:val="24"/>
        </w:rPr>
        <w:t>July 20, 2026</w:t>
      </w:r>
    </w:p>
    <w:p w14:paraId="2C2A87BC" w14:textId="77777777" w:rsidR="00E429E5" w:rsidRPr="007911E7" w:rsidRDefault="00E429E5" w:rsidP="00E429E5">
      <w:pPr>
        <w:spacing w:after="180"/>
        <w:jc w:val="center"/>
        <w:rPr>
          <w:rFonts w:ascii="Arial" w:hAnsi="Arial" w:cs="Arial"/>
          <w:sz w:val="24"/>
          <w:szCs w:val="24"/>
        </w:rPr>
      </w:pPr>
      <w:r w:rsidRPr="007911E7">
        <w:rPr>
          <w:rFonts w:ascii="Arial" w:hAnsi="Arial" w:cs="Arial"/>
          <w:b/>
          <w:bCs/>
          <w:sz w:val="24"/>
          <w:szCs w:val="24"/>
        </w:rPr>
        <w:t>STATEMENT OF COMPLIANCE – EU RoHS DIRECTIVE 2011/65/EU AS AMENDED BY (EU) 2015/863</w:t>
      </w:r>
    </w:p>
    <w:p w14:paraId="79A5CBD3" w14:textId="42CB758D" w:rsidR="009701CA" w:rsidRDefault="009701CA" w:rsidP="009701CA">
      <w:pPr>
        <w:spacing w:after="400"/>
        <w:rPr>
          <w:rFonts w:ascii="Arial" w:hAnsi="Arial" w:cs="Arial"/>
          <w:sz w:val="24"/>
          <w:szCs w:val="24"/>
        </w:rPr>
      </w:pPr>
      <w:r w:rsidRPr="005F57AA">
        <w:rPr>
          <w:rFonts w:ascii="Arial" w:hAnsi="Arial" w:cs="Arial"/>
          <w:color w:val="000000" w:themeColor="text1"/>
          <w:sz w:val="24"/>
          <w:szCs w:val="24"/>
        </w:rPr>
        <w:t>To Our Customers,</w:t>
      </w:r>
    </w:p>
    <w:p w14:paraId="76A60944" w14:textId="423801B1" w:rsidR="00E429E5" w:rsidRPr="007911E7" w:rsidRDefault="00E429E5" w:rsidP="004741B7">
      <w:pPr>
        <w:jc w:val="both"/>
        <w:rPr>
          <w:rFonts w:ascii="Arial" w:hAnsi="Arial" w:cs="Arial"/>
          <w:sz w:val="24"/>
          <w:szCs w:val="24"/>
        </w:rPr>
      </w:pPr>
      <w:r w:rsidRPr="007911E7">
        <w:rPr>
          <w:rFonts w:ascii="Arial" w:hAnsi="Arial" w:cs="Arial"/>
          <w:sz w:val="24"/>
          <w:szCs w:val="24"/>
        </w:rPr>
        <w:t>Global Specialty Steel is committed to supplying products that meet the material restrictions set out in the European Union's Restriction of Hazardous Substances Directive 2011/65/EU (“RoHS 2”), as amended by Delegated Directive (EU) 2015/863 (“RoHS 3”), which added four phthalate substances to the original list of six restricted substances. This remains the current version of the substance-restriction list; no further substances have been added as of the date of this letter. The lead-alloy exemptions referenced below were most recently renewed by the European Commission in November 2025.</w:t>
      </w:r>
    </w:p>
    <w:p w14:paraId="5ABE6AF7" w14:textId="77777777" w:rsidR="00E429E5" w:rsidRPr="007911E7" w:rsidRDefault="00E429E5" w:rsidP="004741B7">
      <w:pPr>
        <w:jc w:val="both"/>
        <w:rPr>
          <w:rFonts w:ascii="Arial" w:hAnsi="Arial" w:cs="Arial"/>
          <w:sz w:val="24"/>
          <w:szCs w:val="24"/>
        </w:rPr>
      </w:pPr>
      <w:r w:rsidRPr="007911E7">
        <w:rPr>
          <w:rFonts w:ascii="Arial" w:hAnsi="Arial" w:cs="Arial"/>
          <w:sz w:val="24"/>
          <w:szCs w:val="24"/>
        </w:rPr>
        <w:t>Based on documentation and material certifications maintained on file from our approved mills and vendors, the following ten substances are restricted under RoHS 2 and RoHS 3, with the maximum concentration values shown below:</w:t>
      </w:r>
    </w:p>
    <w:p w14:paraId="561A69E9" w14:textId="77777777" w:rsidR="00E429E5" w:rsidRPr="007911E7" w:rsidRDefault="00E429E5" w:rsidP="004741B7">
      <w:pPr>
        <w:pStyle w:val="ListParagraph"/>
        <w:numPr>
          <w:ilvl w:val="0"/>
          <w:numId w:val="5"/>
        </w:numPr>
        <w:spacing w:after="60" w:line="240" w:lineRule="auto"/>
        <w:contextualSpacing w:val="0"/>
        <w:jc w:val="both"/>
        <w:rPr>
          <w:rFonts w:ascii="Arial" w:hAnsi="Arial" w:cs="Arial"/>
          <w:sz w:val="24"/>
          <w:szCs w:val="24"/>
        </w:rPr>
      </w:pPr>
      <w:r w:rsidRPr="007911E7">
        <w:rPr>
          <w:rFonts w:ascii="Arial" w:hAnsi="Arial" w:cs="Arial"/>
          <w:sz w:val="24"/>
          <w:szCs w:val="24"/>
        </w:rPr>
        <w:t>Lead (Pb) – max. 0.1% (1000 ppm)</w:t>
      </w:r>
    </w:p>
    <w:p w14:paraId="4E5DE3DD" w14:textId="77777777" w:rsidR="00E429E5" w:rsidRPr="007911E7" w:rsidRDefault="00E429E5" w:rsidP="004741B7">
      <w:pPr>
        <w:pStyle w:val="ListParagraph"/>
        <w:numPr>
          <w:ilvl w:val="0"/>
          <w:numId w:val="5"/>
        </w:numPr>
        <w:spacing w:after="60" w:line="240" w:lineRule="auto"/>
        <w:contextualSpacing w:val="0"/>
        <w:jc w:val="both"/>
        <w:rPr>
          <w:rFonts w:ascii="Arial" w:hAnsi="Arial" w:cs="Arial"/>
          <w:sz w:val="24"/>
          <w:szCs w:val="24"/>
        </w:rPr>
      </w:pPr>
      <w:r w:rsidRPr="007911E7">
        <w:rPr>
          <w:rFonts w:ascii="Arial" w:hAnsi="Arial" w:cs="Arial"/>
          <w:sz w:val="24"/>
          <w:szCs w:val="24"/>
        </w:rPr>
        <w:t>Mercury (Hg) – max. 0.1% (1000 ppm)</w:t>
      </w:r>
    </w:p>
    <w:p w14:paraId="02FB756C" w14:textId="77777777" w:rsidR="00E429E5" w:rsidRPr="007911E7" w:rsidRDefault="00E429E5" w:rsidP="004741B7">
      <w:pPr>
        <w:pStyle w:val="ListParagraph"/>
        <w:numPr>
          <w:ilvl w:val="0"/>
          <w:numId w:val="5"/>
        </w:numPr>
        <w:spacing w:after="60" w:line="240" w:lineRule="auto"/>
        <w:contextualSpacing w:val="0"/>
        <w:jc w:val="both"/>
        <w:rPr>
          <w:rFonts w:ascii="Arial" w:hAnsi="Arial" w:cs="Arial"/>
          <w:sz w:val="24"/>
          <w:szCs w:val="24"/>
        </w:rPr>
      </w:pPr>
      <w:r w:rsidRPr="007911E7">
        <w:rPr>
          <w:rFonts w:ascii="Arial" w:hAnsi="Arial" w:cs="Arial"/>
          <w:sz w:val="24"/>
          <w:szCs w:val="24"/>
        </w:rPr>
        <w:t>Cadmium (Cd) – max. 0.01% (100 ppm)</w:t>
      </w:r>
    </w:p>
    <w:p w14:paraId="03D46570" w14:textId="77777777" w:rsidR="00E429E5" w:rsidRPr="007911E7" w:rsidRDefault="00E429E5" w:rsidP="004741B7">
      <w:pPr>
        <w:pStyle w:val="ListParagraph"/>
        <w:numPr>
          <w:ilvl w:val="0"/>
          <w:numId w:val="5"/>
        </w:numPr>
        <w:spacing w:after="60" w:line="240" w:lineRule="auto"/>
        <w:contextualSpacing w:val="0"/>
        <w:jc w:val="both"/>
        <w:rPr>
          <w:rFonts w:ascii="Arial" w:hAnsi="Arial" w:cs="Arial"/>
          <w:sz w:val="24"/>
          <w:szCs w:val="24"/>
        </w:rPr>
      </w:pPr>
      <w:r w:rsidRPr="007911E7">
        <w:rPr>
          <w:rFonts w:ascii="Arial" w:hAnsi="Arial" w:cs="Arial"/>
          <w:sz w:val="24"/>
          <w:szCs w:val="24"/>
        </w:rPr>
        <w:t>Hexavalent Chromium (Cr VI) – max. 0.1% (1000 ppm)</w:t>
      </w:r>
    </w:p>
    <w:p w14:paraId="06442BD2" w14:textId="77777777" w:rsidR="00E429E5" w:rsidRPr="007911E7" w:rsidRDefault="00E429E5" w:rsidP="004741B7">
      <w:pPr>
        <w:pStyle w:val="ListParagraph"/>
        <w:numPr>
          <w:ilvl w:val="0"/>
          <w:numId w:val="5"/>
        </w:numPr>
        <w:spacing w:after="60" w:line="240" w:lineRule="auto"/>
        <w:contextualSpacing w:val="0"/>
        <w:jc w:val="both"/>
        <w:rPr>
          <w:rFonts w:ascii="Arial" w:hAnsi="Arial" w:cs="Arial"/>
          <w:sz w:val="24"/>
          <w:szCs w:val="24"/>
        </w:rPr>
      </w:pPr>
      <w:r w:rsidRPr="007911E7">
        <w:rPr>
          <w:rFonts w:ascii="Arial" w:hAnsi="Arial" w:cs="Arial"/>
          <w:sz w:val="24"/>
          <w:szCs w:val="24"/>
        </w:rPr>
        <w:t>Polybrominated Biphenyls (PBB) – max. 0.1% (1000 ppm)</w:t>
      </w:r>
    </w:p>
    <w:p w14:paraId="0051CF41" w14:textId="77777777" w:rsidR="00E429E5" w:rsidRPr="007911E7" w:rsidRDefault="00E429E5" w:rsidP="004741B7">
      <w:pPr>
        <w:pStyle w:val="ListParagraph"/>
        <w:numPr>
          <w:ilvl w:val="0"/>
          <w:numId w:val="5"/>
        </w:numPr>
        <w:spacing w:after="60" w:line="240" w:lineRule="auto"/>
        <w:contextualSpacing w:val="0"/>
        <w:jc w:val="both"/>
        <w:rPr>
          <w:rFonts w:ascii="Arial" w:hAnsi="Arial" w:cs="Arial"/>
          <w:sz w:val="24"/>
          <w:szCs w:val="24"/>
        </w:rPr>
      </w:pPr>
      <w:r w:rsidRPr="007911E7">
        <w:rPr>
          <w:rFonts w:ascii="Arial" w:hAnsi="Arial" w:cs="Arial"/>
          <w:sz w:val="24"/>
          <w:szCs w:val="24"/>
        </w:rPr>
        <w:t>Polybrominated Diphenyl Ethers (PBDE) – max. 0.1% (1000 ppm)</w:t>
      </w:r>
    </w:p>
    <w:p w14:paraId="5D88AF21" w14:textId="77777777" w:rsidR="00E429E5" w:rsidRPr="007911E7" w:rsidRDefault="00E429E5" w:rsidP="004741B7">
      <w:pPr>
        <w:pStyle w:val="ListParagraph"/>
        <w:numPr>
          <w:ilvl w:val="0"/>
          <w:numId w:val="5"/>
        </w:numPr>
        <w:spacing w:after="60" w:line="240" w:lineRule="auto"/>
        <w:contextualSpacing w:val="0"/>
        <w:jc w:val="both"/>
        <w:rPr>
          <w:rFonts w:ascii="Arial" w:hAnsi="Arial" w:cs="Arial"/>
          <w:sz w:val="24"/>
          <w:szCs w:val="24"/>
        </w:rPr>
      </w:pPr>
      <w:r w:rsidRPr="007911E7">
        <w:rPr>
          <w:rFonts w:ascii="Arial" w:hAnsi="Arial" w:cs="Arial"/>
          <w:sz w:val="24"/>
          <w:szCs w:val="24"/>
        </w:rPr>
        <w:t>Bis(2-Ethylhexyl) phthalate (DEHP) – max. 0.1% (1000 ppm)</w:t>
      </w:r>
    </w:p>
    <w:p w14:paraId="5FB378F8" w14:textId="77777777" w:rsidR="00E429E5" w:rsidRPr="007911E7" w:rsidRDefault="00E429E5" w:rsidP="004741B7">
      <w:pPr>
        <w:pStyle w:val="ListParagraph"/>
        <w:numPr>
          <w:ilvl w:val="0"/>
          <w:numId w:val="5"/>
        </w:numPr>
        <w:spacing w:after="60" w:line="240" w:lineRule="auto"/>
        <w:contextualSpacing w:val="0"/>
        <w:jc w:val="both"/>
        <w:rPr>
          <w:rFonts w:ascii="Arial" w:hAnsi="Arial" w:cs="Arial"/>
          <w:sz w:val="24"/>
          <w:szCs w:val="24"/>
        </w:rPr>
      </w:pPr>
      <w:r w:rsidRPr="007911E7">
        <w:rPr>
          <w:rFonts w:ascii="Arial" w:hAnsi="Arial" w:cs="Arial"/>
          <w:sz w:val="24"/>
          <w:szCs w:val="24"/>
        </w:rPr>
        <w:t>Benzyl butyl phthalate (BBP) – max. 0.1% (1000 ppm)</w:t>
      </w:r>
    </w:p>
    <w:p w14:paraId="0334A1EE" w14:textId="77777777" w:rsidR="00E429E5" w:rsidRPr="007911E7" w:rsidRDefault="00E429E5" w:rsidP="004741B7">
      <w:pPr>
        <w:pStyle w:val="ListParagraph"/>
        <w:numPr>
          <w:ilvl w:val="0"/>
          <w:numId w:val="5"/>
        </w:numPr>
        <w:spacing w:after="60" w:line="240" w:lineRule="auto"/>
        <w:contextualSpacing w:val="0"/>
        <w:jc w:val="both"/>
        <w:rPr>
          <w:rFonts w:ascii="Arial" w:hAnsi="Arial" w:cs="Arial"/>
          <w:sz w:val="24"/>
          <w:szCs w:val="24"/>
        </w:rPr>
      </w:pPr>
      <w:r w:rsidRPr="007911E7">
        <w:rPr>
          <w:rFonts w:ascii="Arial" w:hAnsi="Arial" w:cs="Arial"/>
          <w:sz w:val="24"/>
          <w:szCs w:val="24"/>
        </w:rPr>
        <w:t>Dibutyl phthalate (DBP) – max. 0.1% (1000 ppm)</w:t>
      </w:r>
    </w:p>
    <w:p w14:paraId="1534E727" w14:textId="77777777" w:rsidR="00E429E5" w:rsidRPr="007911E7" w:rsidRDefault="00E429E5" w:rsidP="004741B7">
      <w:pPr>
        <w:pStyle w:val="ListParagraph"/>
        <w:numPr>
          <w:ilvl w:val="0"/>
          <w:numId w:val="5"/>
        </w:numPr>
        <w:spacing w:after="60" w:line="240" w:lineRule="auto"/>
        <w:contextualSpacing w:val="0"/>
        <w:jc w:val="both"/>
        <w:rPr>
          <w:rFonts w:ascii="Arial" w:hAnsi="Arial" w:cs="Arial"/>
          <w:sz w:val="24"/>
          <w:szCs w:val="24"/>
        </w:rPr>
      </w:pPr>
      <w:r w:rsidRPr="007911E7">
        <w:rPr>
          <w:rFonts w:ascii="Arial" w:hAnsi="Arial" w:cs="Arial"/>
          <w:sz w:val="24"/>
          <w:szCs w:val="24"/>
        </w:rPr>
        <w:t>Diisobutyl phthalate (DIBP) – max. 0.1% (1000 ppm)</w:t>
      </w:r>
    </w:p>
    <w:p w14:paraId="299485C9" w14:textId="71010C6A" w:rsidR="00E429E5" w:rsidRPr="007911E7" w:rsidRDefault="00E429E5" w:rsidP="004741B7">
      <w:pPr>
        <w:spacing w:before="140" w:after="100"/>
        <w:jc w:val="both"/>
        <w:rPr>
          <w:rFonts w:ascii="Arial" w:hAnsi="Arial" w:cs="Arial"/>
          <w:sz w:val="24"/>
          <w:szCs w:val="24"/>
        </w:rPr>
      </w:pPr>
      <w:r w:rsidRPr="007911E7">
        <w:rPr>
          <w:rFonts w:ascii="Arial" w:hAnsi="Arial" w:cs="Arial"/>
          <w:sz w:val="24"/>
          <w:szCs w:val="24"/>
        </w:rPr>
        <w:t>The wire products distributed by Global Specialty Steel conform to the above restrictions, with the exception of the following product lines, which fall under recognized RoHS alloy or application exemptions:</w:t>
      </w:r>
    </w:p>
    <w:p w14:paraId="5C1A8BA2" w14:textId="77777777" w:rsidR="00E429E5" w:rsidRPr="007911E7" w:rsidRDefault="00E429E5" w:rsidP="004741B7">
      <w:pPr>
        <w:pStyle w:val="ListParagraph"/>
        <w:numPr>
          <w:ilvl w:val="0"/>
          <w:numId w:val="5"/>
        </w:numPr>
        <w:spacing w:after="60" w:line="240" w:lineRule="auto"/>
        <w:contextualSpacing w:val="0"/>
        <w:jc w:val="both"/>
        <w:rPr>
          <w:rFonts w:ascii="Arial" w:hAnsi="Arial" w:cs="Arial"/>
          <w:sz w:val="24"/>
          <w:szCs w:val="24"/>
        </w:rPr>
      </w:pPr>
      <w:r w:rsidRPr="007911E7">
        <w:rPr>
          <w:rFonts w:ascii="Arial" w:hAnsi="Arial" w:cs="Arial"/>
          <w:sz w:val="24"/>
          <w:szCs w:val="24"/>
        </w:rPr>
        <w:t>Alloy 2011 and Alloy 6262 aluminum alloys, which contain lead as an alloying element under RoHS Annex III Exemption 6(b) and its sub-exemptions (lead content not exceeding 0.4% by weight)</w:t>
      </w:r>
    </w:p>
    <w:p w14:paraId="1CD3AD32" w14:textId="77777777" w:rsidR="00E429E5" w:rsidRPr="007911E7" w:rsidRDefault="00E429E5" w:rsidP="004741B7">
      <w:pPr>
        <w:pStyle w:val="ListParagraph"/>
        <w:numPr>
          <w:ilvl w:val="0"/>
          <w:numId w:val="5"/>
        </w:numPr>
        <w:spacing w:after="60" w:line="240" w:lineRule="auto"/>
        <w:contextualSpacing w:val="0"/>
        <w:jc w:val="both"/>
        <w:rPr>
          <w:rFonts w:ascii="Arial" w:hAnsi="Arial" w:cs="Arial"/>
          <w:sz w:val="24"/>
          <w:szCs w:val="24"/>
        </w:rPr>
      </w:pPr>
      <w:r w:rsidRPr="007911E7">
        <w:rPr>
          <w:rFonts w:ascii="Arial" w:hAnsi="Arial" w:cs="Arial"/>
          <w:sz w:val="24"/>
          <w:szCs w:val="24"/>
        </w:rPr>
        <w:t>Products intended solely for markets subject to the Japanese Green Procurement Directive</w:t>
      </w:r>
    </w:p>
    <w:p w14:paraId="7FA80924" w14:textId="77777777" w:rsidR="00E429E5" w:rsidRPr="007911E7" w:rsidRDefault="00E429E5" w:rsidP="004741B7">
      <w:pPr>
        <w:spacing w:before="160" w:after="120"/>
        <w:jc w:val="both"/>
        <w:rPr>
          <w:rFonts w:ascii="Arial" w:hAnsi="Arial" w:cs="Arial"/>
          <w:sz w:val="24"/>
          <w:szCs w:val="24"/>
        </w:rPr>
      </w:pPr>
      <w:r w:rsidRPr="007911E7">
        <w:rPr>
          <w:rFonts w:ascii="Arial" w:hAnsi="Arial" w:cs="Arial"/>
          <w:sz w:val="24"/>
          <w:szCs w:val="24"/>
        </w:rPr>
        <w:lastRenderedPageBreak/>
        <w:t>This statement is based on information supplied by our upstream mills and suppliers and is provided for the convenience of our customers in support of their own compliance efforts. Global Specialty Steel will notify affected customers promptly if any future change to the Directive or to our supply chain affects the accuracy of this statement. Customers with product-specific compliance requirements are encouraged to contact us directly.</w:t>
      </w:r>
    </w:p>
    <w:p w14:paraId="6C739556" w14:textId="77777777" w:rsidR="00E429E5" w:rsidRPr="007911E7" w:rsidRDefault="00E429E5" w:rsidP="004741B7">
      <w:pPr>
        <w:spacing w:before="300"/>
        <w:jc w:val="both"/>
        <w:rPr>
          <w:rFonts w:ascii="Arial" w:hAnsi="Arial" w:cs="Arial"/>
          <w:sz w:val="24"/>
          <w:szCs w:val="24"/>
        </w:rPr>
      </w:pPr>
      <w:r w:rsidRPr="007911E7">
        <w:rPr>
          <w:rFonts w:ascii="Arial" w:hAnsi="Arial" w:cs="Arial"/>
          <w:sz w:val="24"/>
          <w:szCs w:val="24"/>
        </w:rPr>
        <w:t>Sincerely,</w:t>
      </w:r>
    </w:p>
    <w:p w14:paraId="5A017784" w14:textId="6EC9A693" w:rsidR="00860872" w:rsidRPr="007911E7" w:rsidRDefault="00EB4F88" w:rsidP="004741B7">
      <w:pPr>
        <w:spacing w:before="300"/>
        <w:jc w:val="both"/>
        <w:rPr>
          <w:rFonts w:ascii="Arial" w:hAnsi="Arial" w:cs="Arial"/>
          <w:sz w:val="24"/>
          <w:szCs w:val="24"/>
        </w:rPr>
      </w:pPr>
      <w:r w:rsidRPr="007911E7">
        <w:rPr>
          <w:rFonts w:ascii="Arial" w:hAnsi="Arial" w:cs="Arial"/>
          <w:noProof/>
          <w:color w:val="000000" w:themeColor="text1"/>
          <w:sz w:val="24"/>
          <w:szCs w:val="24"/>
        </w:rPr>
        <w:drawing>
          <wp:inline distT="0" distB="0" distL="0" distR="0" wp14:anchorId="49084FD6" wp14:editId="5EEB9716">
            <wp:extent cx="1130696" cy="558800"/>
            <wp:effectExtent l="0" t="0" r="0" b="0"/>
            <wp:docPr id="1410954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6435" t="26945" r="18078" b="24478"/>
                    <a:stretch>
                      <a:fillRect/>
                    </a:stretch>
                  </pic:blipFill>
                  <pic:spPr bwMode="auto">
                    <a:xfrm>
                      <a:off x="0" y="0"/>
                      <a:ext cx="1146452" cy="566587"/>
                    </a:xfrm>
                    <a:prstGeom prst="rect">
                      <a:avLst/>
                    </a:prstGeom>
                    <a:noFill/>
                    <a:ln>
                      <a:noFill/>
                    </a:ln>
                    <a:extLst>
                      <a:ext uri="{53640926-AAD7-44D8-BBD7-CCE9431645EC}">
                        <a14:shadowObscured xmlns:a14="http://schemas.microsoft.com/office/drawing/2010/main"/>
                      </a:ext>
                    </a:extLst>
                  </pic:spPr>
                </pic:pic>
              </a:graphicData>
            </a:graphic>
          </wp:inline>
        </w:drawing>
      </w:r>
    </w:p>
    <w:p w14:paraId="6F353AF9" w14:textId="1B4DFA59" w:rsidR="00E429E5" w:rsidRPr="007911E7" w:rsidRDefault="00E429E5" w:rsidP="00860872">
      <w:pPr>
        <w:spacing w:before="300"/>
        <w:rPr>
          <w:rFonts w:ascii="Arial" w:hAnsi="Arial" w:cs="Arial"/>
          <w:sz w:val="24"/>
          <w:szCs w:val="24"/>
        </w:rPr>
      </w:pPr>
      <w:r w:rsidRPr="007911E7">
        <w:rPr>
          <w:rFonts w:ascii="Arial" w:hAnsi="Arial" w:cs="Arial"/>
          <w:sz w:val="24"/>
          <w:szCs w:val="24"/>
        </w:rPr>
        <w:t>Joe Owoc</w:t>
      </w:r>
      <w:r w:rsidR="00860872" w:rsidRPr="007911E7">
        <w:rPr>
          <w:rFonts w:ascii="Arial" w:hAnsi="Arial" w:cs="Arial"/>
          <w:sz w:val="24"/>
          <w:szCs w:val="24"/>
        </w:rPr>
        <w:br/>
      </w:r>
      <w:r w:rsidRPr="007911E7">
        <w:rPr>
          <w:rFonts w:ascii="Arial" w:hAnsi="Arial" w:cs="Arial"/>
          <w:sz w:val="24"/>
          <w:szCs w:val="24"/>
        </w:rPr>
        <w:t>General Manager</w:t>
      </w:r>
    </w:p>
    <w:p w14:paraId="483326D4" w14:textId="2272E0E5" w:rsidR="008447C2" w:rsidRPr="007911E7" w:rsidRDefault="008447C2" w:rsidP="004741B7">
      <w:pPr>
        <w:spacing w:after="400"/>
        <w:jc w:val="both"/>
        <w:rPr>
          <w:sz w:val="24"/>
          <w:szCs w:val="24"/>
        </w:rPr>
      </w:pPr>
    </w:p>
    <w:sectPr w:rsidR="008447C2" w:rsidRPr="007911E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2D961" w14:textId="77777777" w:rsidR="00A23131" w:rsidRDefault="00A23131" w:rsidP="00C86B2E">
      <w:pPr>
        <w:spacing w:after="0" w:line="240" w:lineRule="auto"/>
      </w:pPr>
      <w:r>
        <w:separator/>
      </w:r>
    </w:p>
  </w:endnote>
  <w:endnote w:type="continuationSeparator" w:id="0">
    <w:p w14:paraId="5FCC2AE4" w14:textId="77777777" w:rsidR="00A23131" w:rsidRDefault="00A23131" w:rsidP="00C86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F5EE3" w14:textId="494A5A24" w:rsidR="00C86B2E" w:rsidRDefault="00C86B2E">
    <w:pPr>
      <w:pStyle w:val="Footer"/>
    </w:pPr>
    <w:r>
      <w:rPr>
        <w:noProof/>
      </w:rPr>
      <w:drawing>
        <wp:anchor distT="152400" distB="152400" distL="152400" distR="152400" simplePos="0" relativeHeight="251659264" behindDoc="0" locked="0" layoutInCell="1" allowOverlap="1" wp14:anchorId="4470E0BC" wp14:editId="396A54FA">
          <wp:simplePos x="0" y="0"/>
          <wp:positionH relativeFrom="page">
            <wp:posOffset>914400</wp:posOffset>
          </wp:positionH>
          <wp:positionV relativeFrom="page">
            <wp:posOffset>9754235</wp:posOffset>
          </wp:positionV>
          <wp:extent cx="5943602" cy="72001"/>
          <wp:effectExtent l="0" t="0" r="0" b="0"/>
          <wp:wrapThrough wrapText="bothSides" distL="152400" distR="152400">
            <wp:wrapPolygon edited="1">
              <wp:start x="0" y="0"/>
              <wp:lineTo x="21600" y="0"/>
              <wp:lineTo x="21600" y="21600"/>
              <wp:lineTo x="0" y="21600"/>
              <wp:lineTo x="0" y="0"/>
            </wp:wrapPolygon>
          </wp:wrapThrough>
          <wp:docPr id="1073741827" name="officeArt object" descr="Imagen"/>
          <wp:cNvGraphicFramePr/>
          <a:graphic xmlns:a="http://schemas.openxmlformats.org/drawingml/2006/main">
            <a:graphicData uri="http://schemas.openxmlformats.org/drawingml/2006/picture">
              <pic:pic xmlns:pic="http://schemas.openxmlformats.org/drawingml/2006/picture">
                <pic:nvPicPr>
                  <pic:cNvPr id="1073741827" name="Imagen" descr="Imagen"/>
                  <pic:cNvPicPr>
                    <a:picLocks/>
                  </pic:cNvPicPr>
                </pic:nvPicPr>
                <pic:blipFill>
                  <a:blip r:embed="rId1"/>
                  <a:stretch>
                    <a:fillRect/>
                  </a:stretch>
                </pic:blipFill>
                <pic:spPr>
                  <a:xfrm>
                    <a:off x="0" y="0"/>
                    <a:ext cx="5943602" cy="72001"/>
                  </a:xfrm>
                  <a:prstGeom prst="rect">
                    <a:avLst/>
                  </a:prstGeom>
                  <a:ln w="12700" cap="flat">
                    <a:noFill/>
                    <a:miter lim="400000"/>
                  </a:ln>
                  <a:effec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7E357" w14:textId="77777777" w:rsidR="00A23131" w:rsidRDefault="00A23131" w:rsidP="00C86B2E">
      <w:pPr>
        <w:spacing w:after="0" w:line="240" w:lineRule="auto"/>
      </w:pPr>
      <w:r>
        <w:separator/>
      </w:r>
    </w:p>
  </w:footnote>
  <w:footnote w:type="continuationSeparator" w:id="0">
    <w:p w14:paraId="17D5EA04" w14:textId="77777777" w:rsidR="00A23131" w:rsidRDefault="00A23131" w:rsidP="00C86B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C51FD" w14:textId="1ED7F63F" w:rsidR="001C24E7" w:rsidRDefault="001C24E7">
    <w:pPr>
      <w:pStyle w:val="Header"/>
    </w:pPr>
    <w:r>
      <w:rPr>
        <w:noProof/>
      </w:rPr>
      <w:drawing>
        <wp:anchor distT="152400" distB="152400" distL="152400" distR="152400" simplePos="0" relativeHeight="251661312" behindDoc="0" locked="0" layoutInCell="1" allowOverlap="1" wp14:anchorId="5E0E8FA0" wp14:editId="2B22A0F5">
          <wp:simplePos x="0" y="0"/>
          <wp:positionH relativeFrom="page">
            <wp:posOffset>0</wp:posOffset>
          </wp:positionH>
          <wp:positionV relativeFrom="page">
            <wp:posOffset>0</wp:posOffset>
          </wp:positionV>
          <wp:extent cx="1212850" cy="749300"/>
          <wp:effectExtent l="0" t="0" r="6350" b="0"/>
          <wp:wrapThrough wrapText="bothSides" distL="152400" distR="152400">
            <wp:wrapPolygon edited="1">
              <wp:start x="0" y="0"/>
              <wp:lineTo x="21600" y="0"/>
              <wp:lineTo x="21600" y="21600"/>
              <wp:lineTo x="0" y="21600"/>
              <wp:lineTo x="0" y="0"/>
            </wp:wrapPolygon>
          </wp:wrapThrough>
          <wp:docPr id="1073741826" name="officeArt object" descr="Imagen"/>
          <wp:cNvGraphicFramePr/>
          <a:graphic xmlns:a="http://schemas.openxmlformats.org/drawingml/2006/main">
            <a:graphicData uri="http://schemas.openxmlformats.org/drawingml/2006/picture">
              <pic:pic xmlns:pic="http://schemas.openxmlformats.org/drawingml/2006/picture">
                <pic:nvPicPr>
                  <pic:cNvPr id="1073741826" name="Imagen" descr="Imagen"/>
                  <pic:cNvPicPr>
                    <a:picLocks noChangeAspect="1"/>
                  </pic:cNvPicPr>
                </pic:nvPicPr>
                <pic:blipFill>
                  <a:blip r:embed="rId1"/>
                  <a:stretch>
                    <a:fillRect/>
                  </a:stretch>
                </pic:blipFill>
                <pic:spPr>
                  <a:xfrm>
                    <a:off x="0" y="0"/>
                    <a:ext cx="1213146" cy="749483"/>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932E9"/>
    <w:multiLevelType w:val="hybridMultilevel"/>
    <w:tmpl w:val="5F164690"/>
    <w:lvl w:ilvl="0" w:tplc="151AF82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C4045"/>
    <w:multiLevelType w:val="hybridMultilevel"/>
    <w:tmpl w:val="DB6A06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8C3764"/>
    <w:multiLevelType w:val="hybridMultilevel"/>
    <w:tmpl w:val="12D84526"/>
    <w:lvl w:ilvl="0" w:tplc="151AF826">
      <w:start w:val="3"/>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1EC591F"/>
    <w:multiLevelType w:val="hybridMultilevel"/>
    <w:tmpl w:val="972045D8"/>
    <w:lvl w:ilvl="0" w:tplc="D5883CEE">
      <w:start w:val="1"/>
      <w:numFmt w:val="bullet"/>
      <w:lvlText w:val="•"/>
      <w:lvlJc w:val="left"/>
      <w:pPr>
        <w:ind w:left="720" w:hanging="360"/>
      </w:pPr>
    </w:lvl>
    <w:lvl w:ilvl="1" w:tplc="F48C2976">
      <w:numFmt w:val="decimal"/>
      <w:lvlText w:val=""/>
      <w:lvlJc w:val="left"/>
    </w:lvl>
    <w:lvl w:ilvl="2" w:tplc="0E5422B2">
      <w:numFmt w:val="decimal"/>
      <w:lvlText w:val=""/>
      <w:lvlJc w:val="left"/>
    </w:lvl>
    <w:lvl w:ilvl="3" w:tplc="7368FDE6">
      <w:numFmt w:val="decimal"/>
      <w:lvlText w:val=""/>
      <w:lvlJc w:val="left"/>
    </w:lvl>
    <w:lvl w:ilvl="4" w:tplc="FDC4168A">
      <w:numFmt w:val="decimal"/>
      <w:lvlText w:val=""/>
      <w:lvlJc w:val="left"/>
    </w:lvl>
    <w:lvl w:ilvl="5" w:tplc="2F206C14">
      <w:numFmt w:val="decimal"/>
      <w:lvlText w:val=""/>
      <w:lvlJc w:val="left"/>
    </w:lvl>
    <w:lvl w:ilvl="6" w:tplc="B68EDB30">
      <w:numFmt w:val="decimal"/>
      <w:lvlText w:val=""/>
      <w:lvlJc w:val="left"/>
    </w:lvl>
    <w:lvl w:ilvl="7" w:tplc="44C6D650">
      <w:numFmt w:val="decimal"/>
      <w:lvlText w:val=""/>
      <w:lvlJc w:val="left"/>
    </w:lvl>
    <w:lvl w:ilvl="8" w:tplc="41B65776">
      <w:numFmt w:val="decimal"/>
      <w:lvlText w:val=""/>
      <w:lvlJc w:val="left"/>
    </w:lvl>
  </w:abstractNum>
  <w:abstractNum w:abstractNumId="4" w15:restartNumberingAfterBreak="0">
    <w:nsid w:val="7FC633F7"/>
    <w:multiLevelType w:val="hybridMultilevel"/>
    <w:tmpl w:val="B3B6D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3647145">
    <w:abstractNumId w:val="1"/>
  </w:num>
  <w:num w:numId="2" w16cid:durableId="915826468">
    <w:abstractNumId w:val="0"/>
  </w:num>
  <w:num w:numId="3" w16cid:durableId="425808227">
    <w:abstractNumId w:val="4"/>
  </w:num>
  <w:num w:numId="4" w16cid:durableId="623924146">
    <w:abstractNumId w:val="2"/>
  </w:num>
  <w:num w:numId="5" w16cid:durableId="614097657">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6B1"/>
    <w:rsid w:val="0003588E"/>
    <w:rsid w:val="0003689F"/>
    <w:rsid w:val="00067C64"/>
    <w:rsid w:val="000746B1"/>
    <w:rsid w:val="00077794"/>
    <w:rsid w:val="0009110A"/>
    <w:rsid w:val="00092E11"/>
    <w:rsid w:val="00094F46"/>
    <w:rsid w:val="000A1564"/>
    <w:rsid w:val="000C5C14"/>
    <w:rsid w:val="000D318B"/>
    <w:rsid w:val="001066DB"/>
    <w:rsid w:val="00131374"/>
    <w:rsid w:val="00141FE4"/>
    <w:rsid w:val="001461E5"/>
    <w:rsid w:val="00161423"/>
    <w:rsid w:val="00166626"/>
    <w:rsid w:val="001771EC"/>
    <w:rsid w:val="0018404F"/>
    <w:rsid w:val="001951C2"/>
    <w:rsid w:val="00195B6A"/>
    <w:rsid w:val="001A2B8F"/>
    <w:rsid w:val="001C24E7"/>
    <w:rsid w:val="001D1737"/>
    <w:rsid w:val="001D4D5F"/>
    <w:rsid w:val="001F6F9D"/>
    <w:rsid w:val="0020114E"/>
    <w:rsid w:val="002174A3"/>
    <w:rsid w:val="00240A1A"/>
    <w:rsid w:val="00241616"/>
    <w:rsid w:val="00280ECA"/>
    <w:rsid w:val="00287D62"/>
    <w:rsid w:val="002B08C0"/>
    <w:rsid w:val="002D0958"/>
    <w:rsid w:val="002F043A"/>
    <w:rsid w:val="00302AFD"/>
    <w:rsid w:val="00304DD1"/>
    <w:rsid w:val="00321573"/>
    <w:rsid w:val="00333B83"/>
    <w:rsid w:val="00363758"/>
    <w:rsid w:val="00381010"/>
    <w:rsid w:val="003B2BF4"/>
    <w:rsid w:val="003D154B"/>
    <w:rsid w:val="003E4ACF"/>
    <w:rsid w:val="003E555B"/>
    <w:rsid w:val="00415884"/>
    <w:rsid w:val="00421B2C"/>
    <w:rsid w:val="00422819"/>
    <w:rsid w:val="004741B7"/>
    <w:rsid w:val="0048010F"/>
    <w:rsid w:val="00486076"/>
    <w:rsid w:val="004B5396"/>
    <w:rsid w:val="004C672D"/>
    <w:rsid w:val="004D5985"/>
    <w:rsid w:val="005154ED"/>
    <w:rsid w:val="0053789E"/>
    <w:rsid w:val="005B0014"/>
    <w:rsid w:val="005C62B5"/>
    <w:rsid w:val="005C6E60"/>
    <w:rsid w:val="005D2E55"/>
    <w:rsid w:val="005E0D9A"/>
    <w:rsid w:val="006054D3"/>
    <w:rsid w:val="00647EC7"/>
    <w:rsid w:val="0065346A"/>
    <w:rsid w:val="006D074E"/>
    <w:rsid w:val="006E0799"/>
    <w:rsid w:val="006E0802"/>
    <w:rsid w:val="006F287C"/>
    <w:rsid w:val="007042DE"/>
    <w:rsid w:val="00706B1F"/>
    <w:rsid w:val="007124D4"/>
    <w:rsid w:val="007327B3"/>
    <w:rsid w:val="00733501"/>
    <w:rsid w:val="00762A24"/>
    <w:rsid w:val="00765279"/>
    <w:rsid w:val="00767D97"/>
    <w:rsid w:val="007911E7"/>
    <w:rsid w:val="007B7B8F"/>
    <w:rsid w:val="007D5E7E"/>
    <w:rsid w:val="007E0846"/>
    <w:rsid w:val="00804387"/>
    <w:rsid w:val="00820501"/>
    <w:rsid w:val="008447C2"/>
    <w:rsid w:val="00860872"/>
    <w:rsid w:val="00863EC2"/>
    <w:rsid w:val="008678F6"/>
    <w:rsid w:val="008726D9"/>
    <w:rsid w:val="00872EA2"/>
    <w:rsid w:val="009572D5"/>
    <w:rsid w:val="009701CA"/>
    <w:rsid w:val="009A20A1"/>
    <w:rsid w:val="009A2FFB"/>
    <w:rsid w:val="009F0C74"/>
    <w:rsid w:val="00A217A2"/>
    <w:rsid w:val="00A23131"/>
    <w:rsid w:val="00A345AC"/>
    <w:rsid w:val="00A56363"/>
    <w:rsid w:val="00A93FA7"/>
    <w:rsid w:val="00AA37F6"/>
    <w:rsid w:val="00AC444D"/>
    <w:rsid w:val="00AD39AA"/>
    <w:rsid w:val="00B27038"/>
    <w:rsid w:val="00B457C4"/>
    <w:rsid w:val="00B45947"/>
    <w:rsid w:val="00B5125C"/>
    <w:rsid w:val="00B51BC5"/>
    <w:rsid w:val="00B6136C"/>
    <w:rsid w:val="00B91FE8"/>
    <w:rsid w:val="00B92D00"/>
    <w:rsid w:val="00B94BE4"/>
    <w:rsid w:val="00BB2B5C"/>
    <w:rsid w:val="00BB5E64"/>
    <w:rsid w:val="00BC7714"/>
    <w:rsid w:val="00BF5917"/>
    <w:rsid w:val="00C07E7E"/>
    <w:rsid w:val="00C63746"/>
    <w:rsid w:val="00C86B2E"/>
    <w:rsid w:val="00C87A46"/>
    <w:rsid w:val="00CD4BE2"/>
    <w:rsid w:val="00CF7BC2"/>
    <w:rsid w:val="00D23670"/>
    <w:rsid w:val="00D40079"/>
    <w:rsid w:val="00D47CA8"/>
    <w:rsid w:val="00D71198"/>
    <w:rsid w:val="00D867DE"/>
    <w:rsid w:val="00D90D06"/>
    <w:rsid w:val="00DE24E9"/>
    <w:rsid w:val="00DE41AB"/>
    <w:rsid w:val="00E0649E"/>
    <w:rsid w:val="00E429E5"/>
    <w:rsid w:val="00E4435E"/>
    <w:rsid w:val="00E53835"/>
    <w:rsid w:val="00E56E01"/>
    <w:rsid w:val="00E66E19"/>
    <w:rsid w:val="00E718FE"/>
    <w:rsid w:val="00E95EDD"/>
    <w:rsid w:val="00E97A03"/>
    <w:rsid w:val="00EB4F88"/>
    <w:rsid w:val="00F44B34"/>
    <w:rsid w:val="00F81336"/>
    <w:rsid w:val="00FB0F05"/>
    <w:rsid w:val="00FC5A6A"/>
    <w:rsid w:val="00FF2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7A52B"/>
  <w15:chartTrackingRefBased/>
  <w15:docId w15:val="{61555AE0-7224-4D64-801F-7D0182C1A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6B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6B2E"/>
  </w:style>
  <w:style w:type="paragraph" w:styleId="Footer">
    <w:name w:val="footer"/>
    <w:basedOn w:val="Normal"/>
    <w:link w:val="FooterChar"/>
    <w:uiPriority w:val="99"/>
    <w:unhideWhenUsed/>
    <w:rsid w:val="00C86B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6B2E"/>
  </w:style>
  <w:style w:type="paragraph" w:styleId="NoSpacing">
    <w:name w:val="No Spacing"/>
    <w:uiPriority w:val="1"/>
    <w:qFormat/>
    <w:rsid w:val="0048010F"/>
    <w:pPr>
      <w:spacing w:after="0" w:line="240" w:lineRule="auto"/>
    </w:pPr>
  </w:style>
  <w:style w:type="paragraph" w:styleId="ListParagraph">
    <w:name w:val="List Paragraph"/>
    <w:basedOn w:val="Normal"/>
    <w:qFormat/>
    <w:rsid w:val="000C5C14"/>
    <w:pPr>
      <w:ind w:left="720"/>
      <w:contextualSpacing/>
    </w:pPr>
  </w:style>
  <w:style w:type="character" w:styleId="Hyperlink">
    <w:name w:val="Hyperlink"/>
    <w:basedOn w:val="DefaultParagraphFont"/>
    <w:uiPriority w:val="99"/>
    <w:unhideWhenUsed/>
    <w:rsid w:val="005B0014"/>
    <w:rPr>
      <w:color w:val="467886"/>
      <w:u w:val="single"/>
    </w:rPr>
  </w:style>
  <w:style w:type="character" w:styleId="UnresolvedMention">
    <w:name w:val="Unresolved Mention"/>
    <w:basedOn w:val="DefaultParagraphFont"/>
    <w:uiPriority w:val="99"/>
    <w:semiHidden/>
    <w:unhideWhenUsed/>
    <w:rsid w:val="004B5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896415">
      <w:bodyDiv w:val="1"/>
      <w:marLeft w:val="0"/>
      <w:marRight w:val="0"/>
      <w:marTop w:val="0"/>
      <w:marBottom w:val="0"/>
      <w:divBdr>
        <w:top w:val="none" w:sz="0" w:space="0" w:color="auto"/>
        <w:left w:val="none" w:sz="0" w:space="0" w:color="auto"/>
        <w:bottom w:val="none" w:sz="0" w:space="0" w:color="auto"/>
        <w:right w:val="none" w:sz="0" w:space="0" w:color="auto"/>
      </w:divBdr>
    </w:div>
    <w:div w:id="116228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245</TotalTime>
  <Pages>2</Pages>
  <Words>367</Words>
  <Characters>2093</Characters>
  <Application>Microsoft Office Word</Application>
  <DocSecurity>0</DocSecurity>
  <Lines>17</Lines>
  <Paragraphs>4</Paragraphs>
  <ScaleCrop>false</ScaleCrop>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Owoc</dc:creator>
  <cp:keywords/>
  <dc:description/>
  <cp:lastModifiedBy>Juan Pablo Tobon Varela</cp:lastModifiedBy>
  <cp:revision>118</cp:revision>
  <cp:lastPrinted>2026-07-20T16:45:00Z</cp:lastPrinted>
  <dcterms:created xsi:type="dcterms:W3CDTF">2024-06-26T12:58:00Z</dcterms:created>
  <dcterms:modified xsi:type="dcterms:W3CDTF">2026-07-20T17:02:00Z</dcterms:modified>
</cp:coreProperties>
</file>